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b/>
          <w:bCs/>
          <w:color w:val="000000"/>
          <w:sz w:val="30"/>
          <w:szCs w:val="30"/>
          <w:lang w:eastAsia="ru-RU"/>
        </w:rPr>
        <w:t xml:space="preserve">Информация для работодателей </w:t>
      </w:r>
      <w:bookmarkStart w:id="0" w:name="_GoBack"/>
      <w:r w:rsidRPr="00B0552B">
        <w:rPr>
          <w:rFonts w:ascii="Arial" w:eastAsia="Times New Roman" w:hAnsi="Arial" w:cs="Arial"/>
          <w:b/>
          <w:bCs/>
          <w:color w:val="000000"/>
          <w:sz w:val="30"/>
          <w:szCs w:val="30"/>
          <w:lang w:eastAsia="ru-RU"/>
        </w:rPr>
        <w:t>об административной ответственности за нарушение миграционного законодательства</w:t>
      </w:r>
      <w:bookmarkEnd w:id="0"/>
    </w:p>
    <w:tbl>
      <w:tblPr>
        <w:tblW w:w="9738" w:type="dxa"/>
        <w:tblLayout w:type="fixed"/>
        <w:tblCellMar>
          <w:top w:w="15" w:type="dxa"/>
          <w:left w:w="15" w:type="dxa"/>
          <w:bottom w:w="15" w:type="dxa"/>
          <w:right w:w="15" w:type="dxa"/>
        </w:tblCellMar>
        <w:tblLook w:val="04A0" w:firstRow="1" w:lastRow="0" w:firstColumn="1" w:lastColumn="0" w:noHBand="0" w:noVBand="1"/>
      </w:tblPr>
      <w:tblGrid>
        <w:gridCol w:w="5202"/>
        <w:gridCol w:w="4536"/>
      </w:tblGrid>
      <w:tr w:rsidR="00B0552B" w:rsidRPr="00B0552B" w:rsidTr="00B0552B">
        <w:tc>
          <w:tcPr>
            <w:tcW w:w="5202" w:type="dxa"/>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Виды нарушения</w:t>
            </w:r>
          </w:p>
        </w:tc>
        <w:tc>
          <w:tcPr>
            <w:tcW w:w="4536" w:type="dxa"/>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Мера ответственности</w:t>
            </w:r>
          </w:p>
        </w:tc>
      </w:tr>
      <w:tr w:rsidR="00B0552B" w:rsidRPr="00B0552B" w:rsidTr="00B0552B">
        <w:tc>
          <w:tcPr>
            <w:tcW w:w="5202" w:type="dxa"/>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proofErr w:type="gramStart"/>
            <w:r w:rsidRPr="00B0552B">
              <w:rPr>
                <w:rFonts w:ascii="Arial" w:eastAsia="Times New Roman" w:hAnsi="Arial" w:cs="Arial"/>
                <w:color w:val="000000"/>
                <w:sz w:val="30"/>
                <w:szCs w:val="30"/>
                <w:lang w:eastAsia="ru-RU"/>
              </w:rPr>
              <w:t>Нарушение </w:t>
            </w:r>
            <w:r w:rsidRPr="00B0552B">
              <w:rPr>
                <w:rFonts w:ascii="Arial" w:eastAsia="Times New Roman" w:hAnsi="Arial" w:cs="Arial"/>
                <w:b/>
                <w:bCs/>
                <w:color w:val="000000"/>
                <w:sz w:val="30"/>
                <w:szCs w:val="30"/>
                <w:lang w:eastAsia="ru-RU"/>
              </w:rPr>
              <w:t>приглашающей</w:t>
            </w:r>
            <w:r w:rsidRPr="00B0552B">
              <w:rPr>
                <w:rFonts w:ascii="Arial" w:eastAsia="Times New Roman" w:hAnsi="Arial" w:cs="Arial"/>
                <w:color w:val="000000"/>
                <w:sz w:val="30"/>
                <w:szCs w:val="30"/>
                <w:lang w:eastAsia="ru-RU"/>
              </w:rPr>
              <w:t> или </w:t>
            </w:r>
            <w:r w:rsidRPr="00B0552B">
              <w:rPr>
                <w:rFonts w:ascii="Arial" w:eastAsia="Times New Roman" w:hAnsi="Arial" w:cs="Arial"/>
                <w:b/>
                <w:bCs/>
                <w:color w:val="000000"/>
                <w:sz w:val="30"/>
                <w:szCs w:val="30"/>
                <w:lang w:eastAsia="ru-RU"/>
              </w:rPr>
              <w:t>принимающей</w:t>
            </w:r>
            <w:r w:rsidRPr="00B0552B">
              <w:rPr>
                <w:rFonts w:ascii="Arial" w:eastAsia="Times New Roman" w:hAnsi="Arial" w:cs="Arial"/>
                <w:color w:val="000000"/>
                <w:sz w:val="30"/>
                <w:szCs w:val="30"/>
                <w:lang w:eastAsia="ru-RU"/>
              </w:rPr>
              <w:t> стороной либо </w:t>
            </w:r>
            <w:r w:rsidRPr="00B0552B">
              <w:rPr>
                <w:rFonts w:ascii="Arial" w:eastAsia="Times New Roman" w:hAnsi="Arial" w:cs="Arial"/>
                <w:b/>
                <w:bCs/>
                <w:color w:val="000000"/>
                <w:sz w:val="30"/>
                <w:szCs w:val="30"/>
                <w:lang w:eastAsia="ru-RU"/>
              </w:rPr>
              <w:t>должностным лицом юридического лица</w:t>
            </w:r>
            <w:r w:rsidRPr="00B0552B">
              <w:rPr>
                <w:rFonts w:ascii="Arial" w:eastAsia="Times New Roman" w:hAnsi="Arial" w:cs="Arial"/>
                <w:color w:val="000000"/>
                <w:sz w:val="30"/>
                <w:szCs w:val="30"/>
                <w:lang w:eastAsia="ru-RU"/>
              </w:rPr>
              <w:t>,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w:t>
            </w:r>
            <w:proofErr w:type="gramEnd"/>
            <w:r w:rsidRPr="00B0552B">
              <w:rPr>
                <w:rFonts w:ascii="Arial" w:eastAsia="Times New Roman" w:hAnsi="Arial" w:cs="Arial"/>
                <w:color w:val="000000"/>
                <w:sz w:val="30"/>
                <w:szCs w:val="30"/>
                <w:lang w:eastAsia="ru-RU"/>
              </w:rPr>
              <w:t>,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(КоАП РФ статья 18.9 пункт 1)</w:t>
            </w:r>
          </w:p>
        </w:tc>
        <w:tc>
          <w:tcPr>
            <w:tcW w:w="4536" w:type="dxa"/>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 xml:space="preserve">влечет наложение административного штрафа </w:t>
            </w:r>
            <w:proofErr w:type="gramStart"/>
            <w:r w:rsidRPr="00B0552B">
              <w:rPr>
                <w:rFonts w:ascii="Arial" w:eastAsia="Times New Roman" w:hAnsi="Arial" w:cs="Arial"/>
                <w:color w:val="000000"/>
                <w:sz w:val="30"/>
                <w:szCs w:val="30"/>
                <w:lang w:eastAsia="ru-RU"/>
              </w:rPr>
              <w:t>на</w:t>
            </w:r>
            <w:proofErr w:type="gramEnd"/>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b/>
                <w:bCs/>
                <w:color w:val="000000"/>
                <w:sz w:val="30"/>
                <w:szCs w:val="30"/>
                <w:lang w:eastAsia="ru-RU"/>
              </w:rPr>
              <w:t>должностных лиц</w:t>
            </w:r>
            <w:r w:rsidRPr="00B0552B">
              <w:rPr>
                <w:rFonts w:ascii="Arial" w:eastAsia="Times New Roman" w:hAnsi="Arial" w:cs="Arial"/>
                <w:color w:val="000000"/>
                <w:sz w:val="30"/>
                <w:szCs w:val="30"/>
                <w:lang w:eastAsia="ru-RU"/>
              </w:rPr>
              <w:t> в размере от               40 000 до 50 000 рублей;</w:t>
            </w:r>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b/>
                <w:bCs/>
                <w:color w:val="000000"/>
                <w:sz w:val="30"/>
                <w:szCs w:val="30"/>
                <w:lang w:eastAsia="ru-RU"/>
              </w:rPr>
              <w:t>на юридических лиц</w:t>
            </w:r>
            <w:r w:rsidRPr="00B0552B">
              <w:rPr>
                <w:rFonts w:ascii="Arial" w:eastAsia="Times New Roman" w:hAnsi="Arial" w:cs="Arial"/>
                <w:color w:val="000000"/>
                <w:sz w:val="30"/>
                <w:szCs w:val="30"/>
                <w:lang w:eastAsia="ru-RU"/>
              </w:rPr>
              <w:t> - от 400 000 до 500 000 тысяч рублей.</w:t>
            </w:r>
          </w:p>
        </w:tc>
      </w:tr>
      <w:tr w:rsidR="00B0552B" w:rsidRPr="00B0552B" w:rsidTr="00B0552B">
        <w:tc>
          <w:tcPr>
            <w:tcW w:w="5202" w:type="dxa"/>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Непринятие </w:t>
            </w:r>
            <w:r w:rsidRPr="00B0552B">
              <w:rPr>
                <w:rFonts w:ascii="Arial" w:eastAsia="Times New Roman" w:hAnsi="Arial" w:cs="Arial"/>
                <w:b/>
                <w:bCs/>
                <w:color w:val="000000"/>
                <w:sz w:val="30"/>
                <w:szCs w:val="30"/>
                <w:lang w:eastAsia="ru-RU"/>
              </w:rPr>
              <w:t>приглашающей</w:t>
            </w:r>
            <w:r w:rsidRPr="00B0552B">
              <w:rPr>
                <w:rFonts w:ascii="Arial" w:eastAsia="Times New Roman" w:hAnsi="Arial" w:cs="Arial"/>
                <w:color w:val="000000"/>
                <w:sz w:val="30"/>
                <w:szCs w:val="30"/>
                <w:lang w:eastAsia="ru-RU"/>
              </w:rPr>
              <w:t xml:space="preserve"> стороной установленных мер по обеспечению соблюдения приглашенным иностранным гражданином или лицом без </w:t>
            </w:r>
            <w:r w:rsidRPr="00B0552B">
              <w:rPr>
                <w:rFonts w:ascii="Arial" w:eastAsia="Times New Roman" w:hAnsi="Arial" w:cs="Arial"/>
                <w:color w:val="000000"/>
                <w:sz w:val="30"/>
                <w:szCs w:val="30"/>
                <w:lang w:eastAsia="ru-RU"/>
              </w:rPr>
              <w:lastRenderedPageBreak/>
              <w:t xml:space="preserve">гражданства режима пребывания (проживания) в Российской Федерации в части соответствия заявленной ими цели </w:t>
            </w:r>
            <w:proofErr w:type="gramStart"/>
            <w:r w:rsidRPr="00B0552B">
              <w:rPr>
                <w:rFonts w:ascii="Arial" w:eastAsia="Times New Roman" w:hAnsi="Arial" w:cs="Arial"/>
                <w:color w:val="000000"/>
                <w:sz w:val="30"/>
                <w:szCs w:val="30"/>
                <w:lang w:eastAsia="ru-RU"/>
              </w:rPr>
              <w:t>въезда</w:t>
            </w:r>
            <w:proofErr w:type="gramEnd"/>
            <w:r w:rsidRPr="00B0552B">
              <w:rPr>
                <w:rFonts w:ascii="Arial" w:eastAsia="Times New Roman" w:hAnsi="Arial" w:cs="Arial"/>
                <w:color w:val="000000"/>
                <w:sz w:val="30"/>
                <w:szCs w:val="30"/>
                <w:lang w:eastAsia="ru-RU"/>
              </w:rPr>
              <w:t xml:space="preserve">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(КоАП РФ статья 18.9 пункт 2)</w:t>
            </w:r>
          </w:p>
        </w:tc>
        <w:tc>
          <w:tcPr>
            <w:tcW w:w="4536" w:type="dxa"/>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lastRenderedPageBreak/>
              <w:t xml:space="preserve">влечет наложение административного штрафа </w:t>
            </w:r>
            <w:proofErr w:type="gramStart"/>
            <w:r w:rsidRPr="00B0552B">
              <w:rPr>
                <w:rFonts w:ascii="Arial" w:eastAsia="Times New Roman" w:hAnsi="Arial" w:cs="Arial"/>
                <w:color w:val="000000"/>
                <w:sz w:val="30"/>
                <w:szCs w:val="30"/>
                <w:lang w:eastAsia="ru-RU"/>
              </w:rPr>
              <w:t>на</w:t>
            </w:r>
            <w:proofErr w:type="gramEnd"/>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b/>
                <w:bCs/>
                <w:color w:val="000000"/>
                <w:sz w:val="30"/>
                <w:szCs w:val="30"/>
                <w:lang w:eastAsia="ru-RU"/>
              </w:rPr>
              <w:t>граждан</w:t>
            </w:r>
            <w:r w:rsidRPr="00B0552B">
              <w:rPr>
                <w:rFonts w:ascii="Arial" w:eastAsia="Times New Roman" w:hAnsi="Arial" w:cs="Arial"/>
                <w:color w:val="000000"/>
                <w:sz w:val="30"/>
                <w:szCs w:val="30"/>
                <w:lang w:eastAsia="ru-RU"/>
              </w:rPr>
              <w:t xml:space="preserve"> в размере от 2 000 </w:t>
            </w:r>
            <w:r w:rsidRPr="00B0552B">
              <w:rPr>
                <w:rFonts w:ascii="Arial" w:eastAsia="Times New Roman" w:hAnsi="Arial" w:cs="Arial"/>
                <w:color w:val="000000"/>
                <w:sz w:val="30"/>
                <w:szCs w:val="30"/>
                <w:lang w:eastAsia="ru-RU"/>
              </w:rPr>
              <w:lastRenderedPageBreak/>
              <w:t>до 4 000 рублей;</w:t>
            </w:r>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b/>
                <w:bCs/>
                <w:color w:val="000000"/>
                <w:sz w:val="30"/>
                <w:szCs w:val="30"/>
                <w:lang w:eastAsia="ru-RU"/>
              </w:rPr>
              <w:t>на должностных лиц</w:t>
            </w:r>
            <w:r w:rsidRPr="00B0552B">
              <w:rPr>
                <w:rFonts w:ascii="Arial" w:eastAsia="Times New Roman" w:hAnsi="Arial" w:cs="Arial"/>
                <w:color w:val="000000"/>
                <w:sz w:val="30"/>
                <w:szCs w:val="30"/>
                <w:lang w:eastAsia="ru-RU"/>
              </w:rPr>
              <w:t> - от 45 000 до  50 000 рублей;</w:t>
            </w:r>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b/>
                <w:bCs/>
                <w:color w:val="000000"/>
                <w:sz w:val="30"/>
                <w:szCs w:val="30"/>
                <w:lang w:eastAsia="ru-RU"/>
              </w:rPr>
              <w:t>на юридических лиц</w:t>
            </w:r>
            <w:r w:rsidRPr="00B0552B">
              <w:rPr>
                <w:rFonts w:ascii="Arial" w:eastAsia="Times New Roman" w:hAnsi="Arial" w:cs="Arial"/>
                <w:color w:val="000000"/>
                <w:sz w:val="30"/>
                <w:szCs w:val="30"/>
                <w:lang w:eastAsia="ru-RU"/>
              </w:rPr>
              <w:t> - от 400 000 до 500 000 рублей.</w:t>
            </w:r>
          </w:p>
        </w:tc>
      </w:tr>
      <w:tr w:rsidR="00B0552B" w:rsidRPr="00B0552B" w:rsidTr="00B0552B">
        <w:tc>
          <w:tcPr>
            <w:tcW w:w="5202" w:type="dxa"/>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lastRenderedPageBreak/>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5" w:anchor="dst100085" w:history="1">
              <w:r w:rsidRPr="00B0552B">
                <w:rPr>
                  <w:rFonts w:ascii="Arial" w:eastAsia="Times New Roman" w:hAnsi="Arial" w:cs="Arial"/>
                  <w:color w:val="3A7314"/>
                  <w:sz w:val="30"/>
                  <w:szCs w:val="30"/>
                  <w:lang w:eastAsia="ru-RU"/>
                </w:rPr>
                <w:t>порядка</w:t>
              </w:r>
            </w:hyperlink>
            <w:r w:rsidRPr="00B0552B">
              <w:rPr>
                <w:rFonts w:ascii="Arial" w:eastAsia="Times New Roman" w:hAnsi="Arial" w:cs="Arial"/>
                <w:color w:val="000000"/>
                <w:sz w:val="30"/>
                <w:szCs w:val="30"/>
                <w:lang w:eastAsia="ru-RU"/>
              </w:rPr>
              <w:t> или </w:t>
            </w:r>
            <w:hyperlink r:id="rId6" w:anchor="dst100100" w:history="1">
              <w:r w:rsidRPr="00B0552B">
                <w:rPr>
                  <w:rFonts w:ascii="Arial" w:eastAsia="Times New Roman" w:hAnsi="Arial" w:cs="Arial"/>
                  <w:color w:val="3A7314"/>
                  <w:sz w:val="30"/>
                  <w:szCs w:val="30"/>
                  <w:lang w:eastAsia="ru-RU"/>
                </w:rPr>
                <w:t>правил</w:t>
              </w:r>
            </w:hyperlink>
            <w:r w:rsidRPr="00B0552B">
              <w:rPr>
                <w:rFonts w:ascii="Arial" w:eastAsia="Times New Roman" w:hAnsi="Arial" w:cs="Arial"/>
                <w:color w:val="000000"/>
                <w:sz w:val="30"/>
                <w:szCs w:val="30"/>
                <w:lang w:eastAsia="ru-RU"/>
              </w:rPr>
              <w:t> транзитного проезда через ее территорию (КоАП РФ статья 18.9 пункт 3)</w:t>
            </w:r>
          </w:p>
        </w:tc>
        <w:tc>
          <w:tcPr>
            <w:tcW w:w="4536" w:type="dxa"/>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влечет наложение административного штрафа на граждан в размере от 2 000 до 5 000 рублей;</w:t>
            </w:r>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на должностных лиц - от 35 000 до  50 000 рублей;</w:t>
            </w:r>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на юридических лиц - от четырехсот тысяч до пятисот тысяч рублей</w:t>
            </w:r>
          </w:p>
        </w:tc>
      </w:tr>
      <w:tr w:rsidR="00B0552B" w:rsidRPr="00B0552B" w:rsidTr="00B0552B">
        <w:tc>
          <w:tcPr>
            <w:tcW w:w="9738" w:type="dxa"/>
            <w:gridSpan w:val="2"/>
            <w:tcBorders>
              <w:top w:val="single" w:sz="6" w:space="0" w:color="008001"/>
              <w:left w:val="single" w:sz="6" w:space="0" w:color="008001"/>
              <w:bottom w:val="single" w:sz="6" w:space="0" w:color="008001"/>
              <w:right w:val="single" w:sz="6" w:space="0" w:color="008001"/>
            </w:tcBorders>
            <w:tcMar>
              <w:top w:w="240" w:type="dxa"/>
              <w:left w:w="240" w:type="dxa"/>
              <w:bottom w:w="240" w:type="dxa"/>
              <w:right w:w="240" w:type="dxa"/>
            </w:tcMar>
            <w:vAlign w:val="center"/>
            <w:hideMark/>
          </w:tcPr>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 xml:space="preserve">Примечание: Материалы расследуемых уголовных дел по статьям террористической направленности свидетельствуют о том, что члены международных террористических организаций, проникающие в РФ, как правило, снимают внаем жилые помещения. Причем в большинстве случаев без оформления </w:t>
            </w:r>
            <w:r w:rsidRPr="00B0552B">
              <w:rPr>
                <w:rFonts w:ascii="Arial" w:eastAsia="Times New Roman" w:hAnsi="Arial" w:cs="Arial"/>
                <w:color w:val="000000"/>
                <w:sz w:val="30"/>
                <w:szCs w:val="30"/>
                <w:lang w:eastAsia="ru-RU"/>
              </w:rPr>
              <w:lastRenderedPageBreak/>
              <w:t>соответствующих договоров найма и выполнения правоохранительными органами проверочных и регистрационных действий.</w:t>
            </w:r>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Напомним, что несоблюдение требований законодательства при сдаче жилья в аренду и бесконтрольное пребывание в них посторонних людей могут иметь тяжелые последствия.</w:t>
            </w:r>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Хозяевам квартир и домов грозит не только административная ответственность за неуплату налогов и нарушение правил регистрации российских и иностранных граждан по месту пребывания (месту жительства), но и уголовная - если арендаторов признают причастными к террористической деятельности. В этом случае сдающих жилье граждан могут привлечь за пособничество в совершении преступлений по статье 205 УК РФ (совершение террористического акта). Эта статья предусматривает наказание в виде лишения свободы на срок от 10 до 20 лет (справочный материал - ссылка).</w:t>
            </w:r>
          </w:p>
          <w:p w:rsidR="00B0552B" w:rsidRPr="00B0552B" w:rsidRDefault="00B0552B" w:rsidP="00B0552B">
            <w:pPr>
              <w:spacing w:before="100" w:beforeAutospacing="1" w:after="100" w:afterAutospacing="1" w:line="240" w:lineRule="auto"/>
              <w:jc w:val="center"/>
              <w:rPr>
                <w:rFonts w:ascii="Arial" w:eastAsia="Times New Roman" w:hAnsi="Arial" w:cs="Arial"/>
                <w:color w:val="000000"/>
                <w:sz w:val="30"/>
                <w:szCs w:val="30"/>
                <w:lang w:eastAsia="ru-RU"/>
              </w:rPr>
            </w:pPr>
            <w:r w:rsidRPr="00B0552B">
              <w:rPr>
                <w:rFonts w:ascii="Arial" w:eastAsia="Times New Roman" w:hAnsi="Arial" w:cs="Arial"/>
                <w:color w:val="000000"/>
                <w:sz w:val="30"/>
                <w:szCs w:val="30"/>
                <w:lang w:eastAsia="ru-RU"/>
              </w:rPr>
              <w:t>В связи с этим Антитеррористическая комиссия призывает жителей сдавать жилье внаем с соблюдением всех требований законодательства и осуществлять постоянный контроль за проживающими там людьми.</w:t>
            </w:r>
          </w:p>
        </w:tc>
      </w:tr>
    </w:tbl>
    <w:p w:rsidR="001C7E66" w:rsidRDefault="001C7E66"/>
    <w:sectPr w:rsidR="001C7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D5"/>
    <w:rsid w:val="001C7E66"/>
    <w:rsid w:val="003058D5"/>
    <w:rsid w:val="00B0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1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3662/c22f20e79005a435515f1a4c92e5301332f72c64/" TargetMode="External"/><Relationship Id="rId5" Type="http://schemas.openxmlformats.org/officeDocument/2006/relationships/hyperlink" Target="http://www.consultant.ru/document/cons_doc_LAW_303662/d8b66f041ba1f3c943f63e1cd0768b74d48d09f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3352</Characters>
  <Application>Microsoft Office Word</Application>
  <DocSecurity>0</DocSecurity>
  <Lines>27</Lines>
  <Paragraphs>7</Paragraphs>
  <ScaleCrop>false</ScaleCrop>
  <Company>SPecialiST RePack</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2020-10-30T11:20:00Z</dcterms:created>
  <dcterms:modified xsi:type="dcterms:W3CDTF">2020-10-30T11:21:00Z</dcterms:modified>
</cp:coreProperties>
</file>